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5C3" w:rsidRDefault="00657696">
      <w:pPr>
        <w:pStyle w:val="Title"/>
      </w:pPr>
      <w:r>
        <w:t>Meeker</w:t>
      </w:r>
      <w:r>
        <w:rPr>
          <w:spacing w:val="-8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Variance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:rsidR="008F35C3" w:rsidRDefault="00657696">
      <w:pPr>
        <w:pStyle w:val="BodyText"/>
        <w:spacing w:before="240" w:line="276" w:lineRule="auto"/>
      </w:pPr>
      <w:r>
        <w:t>Policy/Procedure: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Variance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Approval Legal References: MN Statute 245A.04. </w:t>
      </w:r>
      <w:proofErr w:type="spellStart"/>
      <w:r>
        <w:t>Subd</w:t>
      </w:r>
      <w:proofErr w:type="spellEnd"/>
      <w:r>
        <w:t xml:space="preserve">. 9, MN Statute 245A.16, </w:t>
      </w:r>
      <w:proofErr w:type="spellStart"/>
      <w:r>
        <w:t>Subd</w:t>
      </w:r>
      <w:proofErr w:type="spellEnd"/>
      <w:r>
        <w:t>. 1, MN Rules 9502.0335, Subparts 8 and 8a.</w:t>
      </w:r>
    </w:p>
    <w:p w:rsidR="008F35C3" w:rsidRDefault="00657696">
      <w:pPr>
        <w:pStyle w:val="BodyText"/>
      </w:pPr>
      <w:r>
        <w:t>Date</w:t>
      </w:r>
      <w:r>
        <w:rPr>
          <w:spacing w:val="-8"/>
        </w:rPr>
        <w:t xml:space="preserve"> </w:t>
      </w:r>
      <w:r>
        <w:t>Effective:</w:t>
      </w:r>
      <w:r>
        <w:rPr>
          <w:spacing w:val="-7"/>
        </w:rPr>
        <w:t xml:space="preserve"> </w:t>
      </w:r>
      <w:r>
        <w:rPr>
          <w:spacing w:val="-2"/>
        </w:rPr>
        <w:t>01/01/2025</w:t>
      </w:r>
    </w:p>
    <w:p w:rsidR="008F35C3" w:rsidRDefault="00657696">
      <w:pPr>
        <w:pStyle w:val="BodyText"/>
        <w:spacing w:before="240" w:line="276" w:lineRule="auto"/>
      </w:pPr>
      <w:r>
        <w:t>Scope: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governs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or denia</w:t>
      </w:r>
      <w:r>
        <w:t>l of variances to licensing standards for providers of family child care within Meeker County.</w:t>
      </w:r>
    </w:p>
    <w:p w:rsidR="008F35C3" w:rsidRDefault="00657696">
      <w:pPr>
        <w:pStyle w:val="BodyText"/>
        <w:spacing w:line="276" w:lineRule="auto"/>
        <w:ind w:right="178"/>
      </w:pPr>
      <w:r>
        <w:t>Personnel Responsible: Meeker County Social Services Family Child Care Licensing Social worker, Supervisor,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consulting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MCSS,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MCSS</w:t>
      </w:r>
      <w:r>
        <w:rPr>
          <w:spacing w:val="-4"/>
        </w:rPr>
        <w:t xml:space="preserve"> </w:t>
      </w:r>
      <w:r>
        <w:t>director and Meeker County Attorney’s office representative.</w:t>
      </w:r>
    </w:p>
    <w:p w:rsidR="008F35C3" w:rsidRDefault="00657696">
      <w:pPr>
        <w:pStyle w:val="BodyText"/>
        <w:ind w:left="169"/>
      </w:pPr>
      <w:r>
        <w:rPr>
          <w:spacing w:val="-2"/>
        </w:rPr>
        <w:t>DEFINITIONS:</w:t>
      </w:r>
    </w:p>
    <w:p w:rsidR="008F35C3" w:rsidRDefault="00657696">
      <w:pPr>
        <w:pStyle w:val="BodyText"/>
        <w:spacing w:before="240"/>
      </w:pPr>
      <w:r>
        <w:t>Annual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annually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rPr>
          <w:spacing w:val="-2"/>
        </w:rPr>
        <w:t>year.</w:t>
      </w:r>
    </w:p>
    <w:p w:rsidR="008F35C3" w:rsidRDefault="00657696">
      <w:pPr>
        <w:pStyle w:val="BodyText"/>
        <w:spacing w:before="241" w:line="276" w:lineRule="auto"/>
      </w:pPr>
      <w:r>
        <w:t>County agency - the agency designated by the county board of c</w:t>
      </w:r>
      <w:r>
        <w:t>ommissioners, human service boards, local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multicounty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those have been established under the law.</w:t>
      </w:r>
    </w:p>
    <w:p w:rsidR="008F35C3" w:rsidRDefault="00657696">
      <w:pPr>
        <w:pStyle w:val="BodyText"/>
        <w:spacing w:line="276" w:lineRule="auto"/>
        <w:ind w:right="178"/>
      </w:pPr>
      <w:r>
        <w:t xml:space="preserve">Family day care and group family day care child age classifications - For the </w:t>
      </w:r>
      <w:r>
        <w:t>purposes of family day care and group family day care licensing under this chapter, the following terms have the meanings given them in this subdivision. 1) Newborn - a child between birth and six weeks old. 2) Infant - a child who is 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ol</w:t>
      </w:r>
      <w:r>
        <w:t>d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old.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Toddler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but less than 24 months old, except that for purposes of specialized infant and toddler family and group family day care, “toddler” means a child who is at least 12 months old, but less than 30 months old. 4) Preschooler – a child who is at least 24 months</w:t>
      </w:r>
      <w:r>
        <w:t xml:space="preserve"> old up to school age. 5) School age – a child who is at least 5 years of age, but is younger than 11 years of age.</w:t>
      </w:r>
    </w:p>
    <w:p w:rsidR="008F35C3" w:rsidRDefault="00657696">
      <w:pPr>
        <w:pStyle w:val="BodyText"/>
        <w:spacing w:line="276" w:lineRule="auto"/>
        <w:ind w:right="137"/>
      </w:pPr>
      <w:r>
        <w:t>Provider- the license holder of the program and for the purposes of this policy, an individual or organization that is legally responsible f</w:t>
      </w:r>
      <w:r>
        <w:t>or the operation of the program or service, and has been granted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commissioner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MN</w:t>
      </w:r>
      <w:r>
        <w:rPr>
          <w:spacing w:val="-3"/>
        </w:rPr>
        <w:t xml:space="preserve"> </w:t>
      </w:r>
      <w:r>
        <w:t>Statute</w:t>
      </w:r>
      <w:r>
        <w:rPr>
          <w:spacing w:val="-3"/>
        </w:rPr>
        <w:t xml:space="preserve"> </w:t>
      </w:r>
      <w:r>
        <w:t>245A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Commissioner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MN Department of Human Services.</w:t>
      </w:r>
    </w:p>
    <w:p w:rsidR="008F35C3" w:rsidRDefault="00657696">
      <w:pPr>
        <w:pStyle w:val="BodyText"/>
        <w:spacing w:line="276" w:lineRule="auto"/>
        <w:ind w:right="66"/>
      </w:pPr>
      <w:r>
        <w:t>RATIONALE: Minnesota county agencies are delegated responsibility</w:t>
      </w:r>
      <w:r>
        <w:t xml:space="preserve"> by the Minnesota Department of Human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licensed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deviate</w:t>
      </w:r>
      <w:r>
        <w:rPr>
          <w:spacing w:val="-2"/>
        </w:rPr>
        <w:t xml:space="preserve"> </w:t>
      </w:r>
      <w:r>
        <w:t>from a specific rule, under certain conditions unless excluded from the delegation authority under Minnesota Statutes.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will be granted by Meeker County. Variances may only be granted to rules that do not affect the health or safety of persons in the licensed program.</w:t>
      </w:r>
    </w:p>
    <w:p w:rsidR="008F35C3" w:rsidRDefault="008F35C3">
      <w:pPr>
        <w:spacing w:line="276" w:lineRule="auto"/>
        <w:sectPr w:rsidR="008F35C3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:rsidR="008F35C3" w:rsidRDefault="00657696">
      <w:pPr>
        <w:pStyle w:val="BodyText"/>
        <w:spacing w:before="80"/>
      </w:pPr>
      <w:r>
        <w:rPr>
          <w:spacing w:val="-2"/>
        </w:rPr>
        <w:lastRenderedPageBreak/>
        <w:t>PROCEDURE:</w:t>
      </w:r>
    </w:p>
    <w:p w:rsidR="008F35C3" w:rsidRDefault="00657696">
      <w:pPr>
        <w:pStyle w:val="ListParagraph"/>
        <w:numPr>
          <w:ilvl w:val="0"/>
          <w:numId w:val="2"/>
        </w:numPr>
        <w:tabs>
          <w:tab w:val="left" w:pos="394"/>
        </w:tabs>
        <w:spacing w:before="240" w:line="276" w:lineRule="auto"/>
        <w:ind w:left="119" w:right="417" w:firstLine="49"/>
      </w:pPr>
      <w:r>
        <w:t>Requests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Licensor.</w:t>
      </w:r>
      <w:r>
        <w:rPr>
          <w:spacing w:val="-3"/>
        </w:rPr>
        <w:t xml:space="preserve"> </w:t>
      </w:r>
      <w:r>
        <w:t>*Variance</w:t>
      </w:r>
      <w:r>
        <w:rPr>
          <w:spacing w:val="-3"/>
        </w:rPr>
        <w:t xml:space="preserve"> </w:t>
      </w:r>
      <w:r>
        <w:t>request procedure must be followed in order. NO variances will be approved for past situations or dates.</w:t>
      </w:r>
    </w:p>
    <w:p w:rsidR="008F35C3" w:rsidRDefault="00657696">
      <w:pPr>
        <w:pStyle w:val="ListParagraph"/>
        <w:numPr>
          <w:ilvl w:val="0"/>
          <w:numId w:val="2"/>
        </w:numPr>
        <w:tabs>
          <w:tab w:val="left" w:pos="345"/>
        </w:tabs>
        <w:spacing w:before="200"/>
        <w:ind w:left="345" w:hanging="226"/>
      </w:pPr>
      <w:r>
        <w:t>Licensor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outline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policy.</w:t>
      </w:r>
    </w:p>
    <w:p w:rsidR="008F35C3" w:rsidRDefault="00657696">
      <w:pPr>
        <w:pStyle w:val="ListParagraph"/>
        <w:numPr>
          <w:ilvl w:val="0"/>
          <w:numId w:val="2"/>
        </w:numPr>
        <w:tabs>
          <w:tab w:val="left" w:pos="345"/>
        </w:tabs>
        <w:spacing w:before="240"/>
        <w:ind w:left="345" w:hanging="226"/>
      </w:pPr>
      <w:r>
        <w:t>Provider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variance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Licensor.</w:t>
      </w:r>
    </w:p>
    <w:p w:rsidR="008F35C3" w:rsidRDefault="00657696">
      <w:pPr>
        <w:pStyle w:val="ListParagraph"/>
        <w:numPr>
          <w:ilvl w:val="0"/>
          <w:numId w:val="2"/>
        </w:numPr>
        <w:tabs>
          <w:tab w:val="left" w:pos="394"/>
        </w:tabs>
        <w:spacing w:before="240" w:line="276" w:lineRule="auto"/>
        <w:ind w:left="119" w:right="919" w:firstLine="49"/>
      </w:pPr>
      <w:r>
        <w:t>Licensor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documentation,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 recommendation of approval or denial to the child welfare team and supervisor</w:t>
      </w:r>
      <w:r>
        <w:t>.</w:t>
      </w:r>
    </w:p>
    <w:p w:rsidR="008F35C3" w:rsidRDefault="00657696">
      <w:pPr>
        <w:pStyle w:val="ListParagraph"/>
        <w:numPr>
          <w:ilvl w:val="0"/>
          <w:numId w:val="2"/>
        </w:numPr>
        <w:tabs>
          <w:tab w:val="left" w:pos="345"/>
        </w:tabs>
        <w:spacing w:before="200"/>
        <w:ind w:left="345" w:hanging="226"/>
      </w:pPr>
      <w:r>
        <w:t>Supervisor</w:t>
      </w:r>
      <w:r>
        <w:rPr>
          <w:spacing w:val="-7"/>
        </w:rPr>
        <w:t xml:space="preserve"> and team </w:t>
      </w:r>
      <w:r>
        <w:t>will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approve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deny</w:t>
      </w:r>
      <w:r>
        <w:rPr>
          <w:spacing w:val="-7"/>
        </w:rPr>
        <w:t xml:space="preserve"> </w:t>
      </w:r>
      <w:r>
        <w:t>Variance</w:t>
      </w:r>
      <w:r>
        <w:rPr>
          <w:spacing w:val="-6"/>
        </w:rPr>
        <w:t xml:space="preserve"> </w:t>
      </w:r>
      <w:r>
        <w:rPr>
          <w:spacing w:val="-2"/>
        </w:rPr>
        <w:t>Request, in consultation with the licensing social worker</w:t>
      </w:r>
      <w:r>
        <w:rPr>
          <w:spacing w:val="-2"/>
        </w:rPr>
        <w:t>.</w:t>
      </w:r>
    </w:p>
    <w:p w:rsidR="008F35C3" w:rsidRDefault="00657696">
      <w:pPr>
        <w:pStyle w:val="ListParagraph"/>
        <w:numPr>
          <w:ilvl w:val="0"/>
          <w:numId w:val="2"/>
        </w:numPr>
        <w:tabs>
          <w:tab w:val="left" w:pos="346"/>
        </w:tabs>
        <w:spacing w:before="240" w:line="276" w:lineRule="auto"/>
        <w:ind w:right="696" w:firstLine="0"/>
      </w:pPr>
      <w:r>
        <w:t>Director,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</w:t>
      </w:r>
      <w:bookmarkStart w:id="0" w:name="_GoBack"/>
      <w:bookmarkEnd w:id="0"/>
      <w:r>
        <w:t>rkers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Attorney’s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 consultation, if needed, prior to approval or denial of any variance</w:t>
      </w:r>
    </w:p>
    <w:p w:rsidR="008F35C3" w:rsidRDefault="00657696">
      <w:pPr>
        <w:pStyle w:val="ListParagraph"/>
        <w:numPr>
          <w:ilvl w:val="0"/>
          <w:numId w:val="2"/>
        </w:numPr>
        <w:tabs>
          <w:tab w:val="left" w:pos="346"/>
        </w:tabs>
        <w:spacing w:before="200" w:line="276" w:lineRule="auto"/>
        <w:ind w:right="368" w:firstLine="0"/>
      </w:pPr>
      <w:r>
        <w:t>Licensor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denial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Provider.</w:t>
      </w:r>
      <w:r>
        <w:rPr>
          <w:spacing w:val="-3"/>
        </w:rPr>
        <w:t xml:space="preserve"> </w:t>
      </w:r>
      <w:r>
        <w:t>*The</w:t>
      </w:r>
      <w:r>
        <w:rPr>
          <w:spacing w:val="-3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effective on the date indicated on the written variance approval letter.</w:t>
      </w:r>
    </w:p>
    <w:p w:rsidR="008F35C3" w:rsidRDefault="00657696">
      <w:pPr>
        <w:pStyle w:val="ListParagraph"/>
        <w:numPr>
          <w:ilvl w:val="0"/>
          <w:numId w:val="2"/>
        </w:numPr>
        <w:tabs>
          <w:tab w:val="left" w:pos="346"/>
        </w:tabs>
        <w:spacing w:before="200" w:line="276" w:lineRule="auto"/>
        <w:ind w:right="709" w:firstLine="0"/>
      </w:pPr>
      <w:r>
        <w:t>Variance</w:t>
      </w:r>
      <w:r>
        <w:rPr>
          <w:spacing w:val="-3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Meeker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appealable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Minnesota Department of Human Ser</w:t>
      </w:r>
      <w:r>
        <w:t>vices.</w:t>
      </w:r>
    </w:p>
    <w:p w:rsidR="008F35C3" w:rsidRDefault="00657696">
      <w:pPr>
        <w:pStyle w:val="ListParagraph"/>
        <w:numPr>
          <w:ilvl w:val="0"/>
          <w:numId w:val="2"/>
        </w:numPr>
        <w:tabs>
          <w:tab w:val="left" w:pos="346"/>
        </w:tabs>
        <w:spacing w:before="200" w:line="276" w:lineRule="auto"/>
        <w:ind w:right="589" w:firstLine="0"/>
      </w:pP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alteration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statute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sole discretion of Meeker County Social Services.</w:t>
      </w:r>
      <w:r>
        <w:rPr>
          <w:spacing w:val="40"/>
        </w:rPr>
        <w:t xml:space="preserve"> </w:t>
      </w:r>
      <w:r>
        <w:t>Explanation of reasons for denial may or may not be available to the provider.</w:t>
      </w:r>
    </w:p>
    <w:p w:rsidR="008F35C3" w:rsidRDefault="00657696">
      <w:pPr>
        <w:pStyle w:val="BodyText"/>
      </w:pPr>
      <w:r>
        <w:t>9)</w:t>
      </w:r>
      <w:r>
        <w:rPr>
          <w:spacing w:val="-7"/>
        </w:rPr>
        <w:t xml:space="preserve"> </w:t>
      </w:r>
      <w:r>
        <w:t>Meeker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variance</w:t>
      </w:r>
      <w:r>
        <w:rPr>
          <w:spacing w:val="-6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rPr>
          <w:spacing w:val="-2"/>
        </w:rPr>
        <w:t>days.</w:t>
      </w:r>
    </w:p>
    <w:p w:rsidR="008F35C3" w:rsidRDefault="008F35C3">
      <w:pPr>
        <w:pStyle w:val="BodyText"/>
        <w:spacing w:before="0"/>
        <w:ind w:left="0"/>
      </w:pPr>
    </w:p>
    <w:p w:rsidR="008F35C3" w:rsidRDefault="008F35C3">
      <w:pPr>
        <w:pStyle w:val="BodyText"/>
        <w:spacing w:before="212"/>
        <w:ind w:left="0"/>
      </w:pPr>
    </w:p>
    <w:p w:rsidR="008F35C3" w:rsidRDefault="00657696">
      <w:pPr>
        <w:pStyle w:val="BodyText"/>
        <w:spacing w:before="0"/>
      </w:pPr>
      <w:r>
        <w:t>General</w:t>
      </w:r>
      <w:r>
        <w:rPr>
          <w:spacing w:val="-9"/>
        </w:rPr>
        <w:t xml:space="preserve"> </w:t>
      </w:r>
      <w:r>
        <w:rPr>
          <w:spacing w:val="-2"/>
        </w:rPr>
        <w:t>Information:</w:t>
      </w:r>
    </w:p>
    <w:p w:rsidR="008F35C3" w:rsidRDefault="00657696">
      <w:pPr>
        <w:pStyle w:val="BodyText"/>
        <w:spacing w:before="241" w:line="276" w:lineRule="auto"/>
        <w:ind w:right="178"/>
      </w:pPr>
      <w:r>
        <w:t>CAPACITY</w:t>
      </w:r>
      <w:r>
        <w:rPr>
          <w:spacing w:val="-1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completing,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entirety form MN DHS Variance Request: Family Child Care (DHS-7297), MN DHS Family Child Care Weekly Attendance</w:t>
      </w:r>
      <w:r>
        <w:rPr>
          <w:spacing w:val="-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(DHS-7297A),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MN</w:t>
      </w:r>
      <w:r>
        <w:rPr>
          <w:spacing w:val="-1"/>
        </w:rPr>
        <w:t xml:space="preserve"> </w:t>
      </w:r>
      <w:r>
        <w:t>DHS</w:t>
      </w:r>
      <w:r>
        <w:rPr>
          <w:spacing w:val="-1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(DHS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7297B).</w:t>
      </w:r>
    </w:p>
    <w:p w:rsidR="008F35C3" w:rsidRDefault="00657696">
      <w:pPr>
        <w:pStyle w:val="BodyText"/>
        <w:spacing w:line="276" w:lineRule="auto"/>
        <w:ind w:right="178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Code,</w:t>
      </w:r>
      <w:r>
        <w:rPr>
          <w:spacing w:val="-3"/>
        </w:rPr>
        <w:t xml:space="preserve"> </w:t>
      </w:r>
      <w:r>
        <w:t>sanitation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building code must be accompanied by written approval from a fire marshal, or appropriate and authorized agent or official with expertise in the respective issue of the variance request and the alternative measures iden</w:t>
      </w:r>
      <w:r>
        <w:t>tified to ensure the safety of children in care.</w:t>
      </w:r>
    </w:p>
    <w:p w:rsidR="008F35C3" w:rsidRDefault="008F35C3">
      <w:pPr>
        <w:pStyle w:val="BodyText"/>
        <w:spacing w:before="0"/>
        <w:ind w:left="0"/>
      </w:pPr>
    </w:p>
    <w:p w:rsidR="008F35C3" w:rsidRDefault="008F35C3">
      <w:pPr>
        <w:pStyle w:val="BodyText"/>
        <w:spacing w:before="171"/>
        <w:ind w:left="0"/>
      </w:pPr>
    </w:p>
    <w:p w:rsidR="008F35C3" w:rsidRDefault="00657696">
      <w:pPr>
        <w:pStyle w:val="BodyText"/>
        <w:spacing w:before="0"/>
      </w:pPr>
      <w:r>
        <w:t>Considerations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MCSS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approval/denial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Variances:</w:t>
      </w:r>
    </w:p>
    <w:p w:rsidR="008F35C3" w:rsidRDefault="00657696">
      <w:pPr>
        <w:pStyle w:val="ListParagraph"/>
        <w:numPr>
          <w:ilvl w:val="0"/>
          <w:numId w:val="1"/>
        </w:numPr>
        <w:tabs>
          <w:tab w:val="left" w:pos="839"/>
        </w:tabs>
        <w:spacing w:before="241"/>
        <w:ind w:left="839" w:hanging="359"/>
      </w:pPr>
      <w:r>
        <w:t>Are</w:t>
      </w:r>
      <w:r>
        <w:rPr>
          <w:spacing w:val="-1"/>
        </w:rPr>
        <w:t xml:space="preserve"> </w:t>
      </w:r>
      <w:r>
        <w:t>health,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variance?</w:t>
      </w:r>
    </w:p>
    <w:p w:rsidR="008F35C3" w:rsidRDefault="008F35C3">
      <w:pPr>
        <w:sectPr w:rsidR="008F35C3">
          <w:pgSz w:w="12240" w:h="15840"/>
          <w:pgMar w:top="1360" w:right="1340" w:bottom="280" w:left="1320" w:header="720" w:footer="720" w:gutter="0"/>
          <w:cols w:space="720"/>
        </w:sectPr>
      </w:pPr>
    </w:p>
    <w:p w:rsidR="008F35C3" w:rsidRDefault="00657696">
      <w:pPr>
        <w:pStyle w:val="ListParagraph"/>
        <w:numPr>
          <w:ilvl w:val="0"/>
          <w:numId w:val="1"/>
        </w:numPr>
        <w:tabs>
          <w:tab w:val="left" w:pos="839"/>
        </w:tabs>
        <w:spacing w:before="80" w:line="276" w:lineRule="auto"/>
        <w:ind w:left="839" w:right="1182"/>
      </w:pPr>
      <w:r>
        <w:lastRenderedPageBreak/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licensing</w:t>
      </w:r>
      <w:r>
        <w:rPr>
          <w:spacing w:val="-4"/>
        </w:rPr>
        <w:t xml:space="preserve"> </w:t>
      </w:r>
      <w:r>
        <w:t>reviews,</w:t>
      </w:r>
      <w:r>
        <w:rPr>
          <w:spacing w:val="-4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 xml:space="preserve">surveys, complaints, investigations </w:t>
      </w:r>
      <w:proofErr w:type="spellStart"/>
      <w:r>
        <w:t>etc</w:t>
      </w:r>
      <w:proofErr w:type="spellEnd"/>
      <w:r>
        <w:t>?</w:t>
      </w:r>
    </w:p>
    <w:p w:rsidR="008F35C3" w:rsidRDefault="00657696">
      <w:pPr>
        <w:pStyle w:val="ListParagraph"/>
        <w:numPr>
          <w:ilvl w:val="0"/>
          <w:numId w:val="1"/>
        </w:numPr>
        <w:tabs>
          <w:tab w:val="left" w:pos="839"/>
        </w:tabs>
        <w:spacing w:line="276" w:lineRule="auto"/>
        <w:ind w:left="839" w:right="358"/>
      </w:pP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programming during the period of the variance such as a helper or additional equipment?</w:t>
      </w:r>
    </w:p>
    <w:p w:rsidR="008F35C3" w:rsidRDefault="00657696">
      <w:pPr>
        <w:pStyle w:val="ListParagraph"/>
        <w:numPr>
          <w:ilvl w:val="0"/>
          <w:numId w:val="1"/>
        </w:numPr>
        <w:tabs>
          <w:tab w:val="left" w:pos="839"/>
        </w:tabs>
        <w:spacing w:line="276" w:lineRule="auto"/>
        <w:ind w:left="839" w:right="270"/>
      </w:pPr>
      <w:r>
        <w:t>Would</w:t>
      </w:r>
      <w:r>
        <w:rPr>
          <w:spacing w:val="-3"/>
        </w:rPr>
        <w:t xml:space="preserve"> </w:t>
      </w:r>
      <w:r>
        <w:t>t</w:t>
      </w:r>
      <w:r>
        <w:t>he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alternate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license,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would the number of children in one category exceed that allowable in another class?</w:t>
      </w:r>
    </w:p>
    <w:p w:rsidR="008F35C3" w:rsidRDefault="00657696">
      <w:pPr>
        <w:pStyle w:val="ListParagraph"/>
        <w:numPr>
          <w:ilvl w:val="0"/>
          <w:numId w:val="1"/>
        </w:numPr>
        <w:tabs>
          <w:tab w:val="left" w:pos="839"/>
        </w:tabs>
        <w:spacing w:line="276" w:lineRule="auto"/>
        <w:ind w:left="839" w:right="254"/>
      </w:pP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request-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variances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variance require and additional variance following it due to children aging up?</w:t>
      </w:r>
    </w:p>
    <w:p w:rsidR="008F35C3" w:rsidRDefault="00657696">
      <w:pPr>
        <w:pStyle w:val="ListParagraph"/>
        <w:numPr>
          <w:ilvl w:val="0"/>
          <w:numId w:val="1"/>
        </w:numPr>
        <w:tabs>
          <w:tab w:val="left" w:pos="839"/>
        </w:tabs>
        <w:spacing w:line="276" w:lineRule="auto"/>
        <w:ind w:left="839" w:right="183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assurances</w:t>
      </w:r>
      <w:r>
        <w:rPr>
          <w:spacing w:val="-3"/>
        </w:rPr>
        <w:t xml:space="preserve"> </w:t>
      </w:r>
      <w:r>
        <w:t>of quality programming during the variance?</w:t>
      </w:r>
    </w:p>
    <w:p w:rsidR="008F35C3" w:rsidRDefault="00657696">
      <w:pPr>
        <w:pStyle w:val="ListParagraph"/>
        <w:numPr>
          <w:ilvl w:val="0"/>
          <w:numId w:val="1"/>
        </w:numPr>
        <w:tabs>
          <w:tab w:val="left" w:pos="839"/>
        </w:tabs>
        <w:spacing w:line="276" w:lineRule="auto"/>
        <w:ind w:left="839" w:right="515"/>
      </w:pP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rela</w:t>
      </w:r>
      <w:r>
        <w:t>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enrolled,</w:t>
      </w:r>
      <w:r>
        <w:rPr>
          <w:spacing w:val="-3"/>
        </w:rPr>
        <w:t xml:space="preserve"> </w:t>
      </w:r>
      <w:r>
        <w:t>a short-term overlap in schedules or another special circumstance?</w:t>
      </w:r>
    </w:p>
    <w:sectPr w:rsidR="008F35C3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52419"/>
    <w:multiLevelType w:val="hybridMultilevel"/>
    <w:tmpl w:val="3A06543A"/>
    <w:lvl w:ilvl="0" w:tplc="9862957E">
      <w:start w:val="1"/>
      <w:numFmt w:val="decimal"/>
      <w:lvlText w:val="%1)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CA7C1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B8AAE19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EBBADB1C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5350BD48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F0CC5C02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3FAAC710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256E6E4E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033C623C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DB551D"/>
    <w:multiLevelType w:val="hybridMultilevel"/>
    <w:tmpl w:val="F93AEBD0"/>
    <w:lvl w:ilvl="0" w:tplc="4F2A64DE">
      <w:start w:val="1"/>
      <w:numFmt w:val="decimal"/>
      <w:lvlText w:val="%1)"/>
      <w:lvlJc w:val="left"/>
      <w:pPr>
        <w:ind w:left="120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14A9984">
      <w:numFmt w:val="bullet"/>
      <w:lvlText w:val="•"/>
      <w:lvlJc w:val="left"/>
      <w:pPr>
        <w:ind w:left="1066" w:hanging="228"/>
      </w:pPr>
      <w:rPr>
        <w:rFonts w:hint="default"/>
        <w:lang w:val="en-US" w:eastAsia="en-US" w:bidi="ar-SA"/>
      </w:rPr>
    </w:lvl>
    <w:lvl w:ilvl="2" w:tplc="F1223218">
      <w:numFmt w:val="bullet"/>
      <w:lvlText w:val="•"/>
      <w:lvlJc w:val="left"/>
      <w:pPr>
        <w:ind w:left="2012" w:hanging="228"/>
      </w:pPr>
      <w:rPr>
        <w:rFonts w:hint="default"/>
        <w:lang w:val="en-US" w:eastAsia="en-US" w:bidi="ar-SA"/>
      </w:rPr>
    </w:lvl>
    <w:lvl w:ilvl="3" w:tplc="271835F8">
      <w:numFmt w:val="bullet"/>
      <w:lvlText w:val="•"/>
      <w:lvlJc w:val="left"/>
      <w:pPr>
        <w:ind w:left="2958" w:hanging="228"/>
      </w:pPr>
      <w:rPr>
        <w:rFonts w:hint="default"/>
        <w:lang w:val="en-US" w:eastAsia="en-US" w:bidi="ar-SA"/>
      </w:rPr>
    </w:lvl>
    <w:lvl w:ilvl="4" w:tplc="FC7010D6">
      <w:numFmt w:val="bullet"/>
      <w:lvlText w:val="•"/>
      <w:lvlJc w:val="left"/>
      <w:pPr>
        <w:ind w:left="3904" w:hanging="228"/>
      </w:pPr>
      <w:rPr>
        <w:rFonts w:hint="default"/>
        <w:lang w:val="en-US" w:eastAsia="en-US" w:bidi="ar-SA"/>
      </w:rPr>
    </w:lvl>
    <w:lvl w:ilvl="5" w:tplc="3A38D976">
      <w:numFmt w:val="bullet"/>
      <w:lvlText w:val="•"/>
      <w:lvlJc w:val="left"/>
      <w:pPr>
        <w:ind w:left="4850" w:hanging="228"/>
      </w:pPr>
      <w:rPr>
        <w:rFonts w:hint="default"/>
        <w:lang w:val="en-US" w:eastAsia="en-US" w:bidi="ar-SA"/>
      </w:rPr>
    </w:lvl>
    <w:lvl w:ilvl="6" w:tplc="3DFA02AA">
      <w:numFmt w:val="bullet"/>
      <w:lvlText w:val="•"/>
      <w:lvlJc w:val="left"/>
      <w:pPr>
        <w:ind w:left="5796" w:hanging="228"/>
      </w:pPr>
      <w:rPr>
        <w:rFonts w:hint="default"/>
        <w:lang w:val="en-US" w:eastAsia="en-US" w:bidi="ar-SA"/>
      </w:rPr>
    </w:lvl>
    <w:lvl w:ilvl="7" w:tplc="A09C1ECC">
      <w:numFmt w:val="bullet"/>
      <w:lvlText w:val="•"/>
      <w:lvlJc w:val="left"/>
      <w:pPr>
        <w:ind w:left="6742" w:hanging="228"/>
      </w:pPr>
      <w:rPr>
        <w:rFonts w:hint="default"/>
        <w:lang w:val="en-US" w:eastAsia="en-US" w:bidi="ar-SA"/>
      </w:rPr>
    </w:lvl>
    <w:lvl w:ilvl="8" w:tplc="F126C378">
      <w:numFmt w:val="bullet"/>
      <w:lvlText w:val="•"/>
      <w:lvlJc w:val="left"/>
      <w:pPr>
        <w:ind w:left="7688" w:hanging="22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5C3"/>
    <w:rsid w:val="00657696"/>
    <w:rsid w:val="008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293C"/>
  <w15:docId w15:val="{051BC968-272C-4031-A914-8B858BF6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0"/>
      <w:ind w:left="120"/>
    </w:pPr>
  </w:style>
  <w:style w:type="paragraph" w:styleId="Title">
    <w:name w:val="Title"/>
    <w:basedOn w:val="Normal"/>
    <w:uiPriority w:val="10"/>
    <w:qFormat/>
    <w:pPr>
      <w:spacing w:before="80"/>
      <w:ind w:left="12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Syndi Raiber</dc:creator>
  <cp:lastModifiedBy>Syndi Raiber</cp:lastModifiedBy>
  <cp:revision>2</cp:revision>
  <dcterms:created xsi:type="dcterms:W3CDTF">2025-01-29T16:29:00Z</dcterms:created>
  <dcterms:modified xsi:type="dcterms:W3CDTF">2025-01-29T16:31:00Z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LastSaved">
    <vt:filetime>2020-12-18T00:00:00Z</vt:filetime>
  </property>
</Properties>
</file>